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eastAsia"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92</w:t>
      </w:r>
      <w:r>
        <w:fldChar w:fldCharType="end"/>
      </w:r>
      <w:r>
        <w:rPr>
          <w:b/>
          <w:i/>
          <w:sz w:val="28"/>
        </w:rPr>
        <w:tab/>
      </w:r>
      <w:r>
        <w:rPr>
          <w:b/>
          <w:sz w:val="24"/>
          <w:szCs w:val="22"/>
        </w:rPr>
        <w:t>R4-19</w:t>
      </w:r>
      <w:r>
        <w:rPr>
          <w:rFonts w:hint="eastAsia" w:eastAsia="宋体"/>
          <w:b/>
          <w:sz w:val="24"/>
          <w:szCs w:val="22"/>
          <w:lang w:val="en-US" w:eastAsia="zh-CN"/>
        </w:rPr>
        <w:t>08625</w:t>
      </w:r>
    </w:p>
    <w:p>
      <w:pPr>
        <w:pStyle w:val="81"/>
        <w:keepNext w:val="0"/>
        <w:keepLines w:val="0"/>
        <w:pageBreakBefore w:val="0"/>
        <w:widowControl/>
        <w:kinsoku/>
        <w:wordWrap/>
        <w:overflowPunct/>
        <w:topLinePunct w:val="0"/>
        <w:autoSpaceDE/>
        <w:autoSpaceDN/>
        <w:bidi w:val="0"/>
        <w:adjustRightInd/>
        <w:snapToGrid/>
        <w:textAlignment w:val="auto"/>
        <w:outlineLvl w:val="0"/>
        <w:rPr>
          <w:b/>
          <w:sz w:val="24"/>
        </w:rPr>
      </w:pPr>
      <w:r>
        <w:fldChar w:fldCharType="begin"/>
      </w:r>
      <w:r>
        <w:instrText xml:space="preserve"> DOCPROPERTY  Location  \* MERGEFORMAT </w:instrText>
      </w:r>
      <w:r>
        <w:fldChar w:fldCharType="separate"/>
      </w:r>
      <w:r>
        <w:rPr>
          <w:b/>
          <w:sz w:val="24"/>
        </w:rPr>
        <w:t xml:space="preserve"> </w:t>
      </w:r>
      <w:r>
        <w:rPr>
          <w:rFonts w:ascii="Arial" w:hAnsi="Arial" w:cs="Arial"/>
          <w:b/>
          <w:sz w:val="24"/>
          <w:szCs w:val="24"/>
          <w:lang w:val="en-GB"/>
        </w:rPr>
        <w:t>Ljubljana</w:t>
      </w:r>
      <w:r>
        <w:rPr>
          <w:b/>
          <w:sz w:val="24"/>
        </w:rPr>
        <w:fldChar w:fldCharType="end"/>
      </w:r>
      <w:r>
        <w:rPr>
          <w:b/>
          <w:sz w:val="24"/>
        </w:rPr>
        <w:t xml:space="preserve">, </w:t>
      </w:r>
      <w:r>
        <w:fldChar w:fldCharType="begin"/>
      </w:r>
      <w:r>
        <w:instrText xml:space="preserve"> DOCPROPERTY  Country  \* MERGEFORMAT </w:instrText>
      </w:r>
      <w:r>
        <w:fldChar w:fldCharType="separate"/>
      </w:r>
      <w:r>
        <w:rPr>
          <w:rFonts w:ascii="Arial" w:hAnsi="Arial" w:cs="Arial"/>
          <w:b/>
          <w:sz w:val="24"/>
          <w:szCs w:val="24"/>
          <w:lang w:eastAsia="es-ES"/>
        </w:rPr>
        <w:t>Slovenia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ascii="Arial" w:hAnsi="Arial" w:cs="Arial"/>
          <w:b/>
          <w:sz w:val="24"/>
          <w:szCs w:val="24"/>
          <w:lang w:val="en-US" w:eastAsia="zh-CN"/>
        </w:rPr>
        <w:t>26</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2019</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30</w:t>
      </w:r>
      <w:r>
        <w:rPr>
          <w:rFonts w:hint="eastAsia" w:eastAsia="宋体"/>
          <w:b/>
          <w:sz w:val="24"/>
          <w:vertAlign w:val="superscript"/>
          <w:lang w:val="en-US" w:eastAsia="zh-CN"/>
        </w:rPr>
        <w:t>th</w:t>
      </w:r>
      <w:r>
        <w:rPr>
          <w:rFonts w:hint="eastAsia" w:eastAsia="宋体"/>
          <w:b/>
          <w:sz w:val="24"/>
          <w:lang w:val="en-US" w:eastAsia="zh-CN"/>
        </w:rPr>
        <w:t xml:space="preserve"> Aug, 2019</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rFonts w:hint="eastAsia" w:eastAsia="宋体"/>
                <w:b/>
                <w:sz w:val="28"/>
                <w:lang w:val="en-US" w:eastAsia="zh-CN"/>
              </w:rPr>
              <w:t>37.104</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eastAsia" w:eastAsia="宋体"/>
                <w:lang w:val="en-US" w:eastAsia="zh-CN"/>
              </w:rPr>
            </w:pPr>
            <w:r>
              <w:rPr>
                <w:rFonts w:hint="eastAsia" w:eastAsia="宋体"/>
                <w:b/>
                <w:sz w:val="28"/>
                <w:szCs w:val="22"/>
                <w:lang w:val="en-US" w:eastAsia="zh-CN"/>
              </w:rPr>
              <w:t>0873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highlight w:val="yellow"/>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16.2.0</w:t>
            </w:r>
            <w:r>
              <w:rPr>
                <w:b/>
                <w:sz w:val="28"/>
                <w:highlight w:val="none"/>
              </w:rPr>
              <w:fldChar w:fldCharType="end"/>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CR to TS37.104: removal of Tx diversity for NR (section 6.5.3)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R4</w:t>
            </w:r>
          </w:p>
        </w:tc>
      </w:tr>
      <w:tr>
        <w:tblPrEx>
          <w:tblLayout w:type="fixed"/>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NR_newRAT-Core</w:t>
            </w:r>
            <w:r>
              <w:rPr>
                <w:lang w:eastAsia="zh-CN"/>
              </w:rPr>
              <w:fldChar w:fldCharType="end"/>
            </w:r>
            <w:r>
              <w:rPr>
                <w:lang w:eastAsia="zh-CN"/>
              </w:rPr>
              <w:fldChar w:fldCharType="end"/>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rPr>
            </w:pPr>
            <w:r>
              <w:rPr>
                <w:rFonts w:hint="eastAsia" w:eastAsia="宋体"/>
                <w:lang w:val="en-US" w:eastAsia="zh-CN"/>
              </w:rPr>
              <w:t>2019-08-29</w:t>
            </w:r>
          </w:p>
        </w:tc>
      </w:tr>
      <w:tr>
        <w:tblPrEx>
          <w:tblLayout w:type="fixed"/>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Height w:val="200"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bookmarkStart w:id="8" w:name="_GoBack"/>
            <w:bookmarkEnd w:id="8"/>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Tx diversity is not supported by NR, therefore it</w:t>
            </w:r>
            <w:r>
              <w:rPr>
                <w:rFonts w:hint="default" w:eastAsia="宋体"/>
                <w:lang w:val="en-US" w:eastAsia="zh-CN"/>
              </w:rPr>
              <w:t>’</w:t>
            </w:r>
            <w:r>
              <w:rPr>
                <w:rFonts w:hint="eastAsia" w:eastAsia="宋体"/>
                <w:lang w:val="en-US" w:eastAsia="zh-CN"/>
              </w:rPr>
              <w:t xml:space="preserve">s proposed to remove that for NR. </w:t>
            </w:r>
          </w:p>
        </w:tc>
      </w:tr>
      <w:tr>
        <w:tblPrEx>
          <w:tblLayout w:type="fixed"/>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Removal of Tx diversity for NR in section 6.5.3 and restructure  the description</w:t>
            </w:r>
          </w:p>
        </w:tc>
      </w:tr>
      <w:tr>
        <w:tblPrEx>
          <w:tblLayout w:type="fixed"/>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Confusion will be caused for NR.</w:t>
            </w:r>
          </w:p>
        </w:tc>
      </w:tr>
      <w:tr>
        <w:tblPrEx>
          <w:tblLayout w:type="fixed"/>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Section 6.5.3</w:t>
            </w:r>
          </w:p>
        </w:tc>
      </w:tr>
      <w:tr>
        <w:tblPrEx>
          <w:tblLayout w:type="fixed"/>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rPr>
                <w:rFonts w:hint="eastAsia" w:eastAsia="宋体"/>
                <w:lang w:val="en-US" w:eastAsia="zh-CN"/>
              </w:rPr>
            </w:pPr>
            <w:r>
              <w:t>TS</w:t>
            </w:r>
            <w:r>
              <w:rPr>
                <w:rFonts w:hint="eastAsia" w:eastAsia="宋体"/>
                <w:lang w:val="en-US" w:eastAsia="zh-CN"/>
              </w:rPr>
              <w:t>37.141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Pr>
        <w:pStyle w:val="4"/>
        <w:ind w:left="0" w:leftChars="0" w:firstLine="0" w:firstLineChars="0"/>
      </w:pPr>
      <w:bookmarkStart w:id="2" w:name="OLE_LINK2"/>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p>
    <w:bookmarkEnd w:id="2"/>
    <w:p>
      <w:pPr>
        <w:pStyle w:val="4"/>
      </w:pPr>
      <w:r>
        <w:t>6.5.3</w:t>
      </w:r>
      <w:r>
        <w:tab/>
      </w:r>
      <w:r>
        <w:t>Time alignment error</w:t>
      </w:r>
    </w:p>
    <w:p>
      <w:r>
        <w:t>This requirement applies to frame timing in:</w:t>
      </w:r>
    </w:p>
    <w:p>
      <w:pPr>
        <w:pStyle w:val="75"/>
      </w:pPr>
      <w:r>
        <w:t>-</w:t>
      </w:r>
      <w:r>
        <w:tab/>
      </w:r>
      <w:r>
        <w:t>UTRA single/multi-carrier transmissions, and their combinations with MIMO or TX diversity.</w:t>
      </w:r>
    </w:p>
    <w:p>
      <w:pPr>
        <w:pStyle w:val="75"/>
        <w:rPr>
          <w:ins w:id="0" w:author="10164284" w:date="2019-08-29T23:45:28Z"/>
        </w:rPr>
      </w:pPr>
      <w:r>
        <w:t>-</w:t>
      </w:r>
      <w:r>
        <w:tab/>
      </w:r>
      <w:del w:id="1" w:author="10164284" w:date="2019-08-29T23:45:58Z">
        <w:r>
          <w:rPr/>
          <w:delText xml:space="preserve">NR and/or </w:delText>
        </w:r>
      </w:del>
      <w:r>
        <w:t>E-UTRA single/multi-carrier transmissions, and their combinations with MIMO or TX diversity.</w:t>
      </w:r>
    </w:p>
    <w:p>
      <w:pPr>
        <w:pStyle w:val="75"/>
        <w:rPr>
          <w:rFonts w:hint="eastAsia" w:eastAsia="宋体"/>
          <w:lang w:val="en-US" w:eastAsia="zh-CN"/>
        </w:rPr>
      </w:pPr>
      <w:ins w:id="2" w:author="10164284" w:date="2019-08-29T23:45:25Z">
        <w:r>
          <w:rPr/>
          <w:t>-</w:t>
        </w:r>
      </w:ins>
      <w:ins w:id="3" w:author="10164284" w:date="2019-08-29T23:45:25Z">
        <w:r>
          <w:rPr/>
          <w:tab/>
        </w:r>
      </w:ins>
      <w:ins w:id="4" w:author="10164284" w:date="2019-08-29T23:45:25Z">
        <w:r>
          <w:rPr/>
          <w:t>NR single/multi-carrier transmissions, and their combinations with MIMO</w:t>
        </w:r>
      </w:ins>
      <w:ins w:id="5" w:author="10164284" w:date="2019-08-29T23:47:12Z">
        <w:r>
          <w:rPr>
            <w:rFonts w:hint="eastAsia" w:eastAsia="宋体"/>
            <w:lang w:val="en-US" w:eastAsia="zh-CN"/>
          </w:rPr>
          <w:t>.</w:t>
        </w:r>
      </w:ins>
    </w:p>
    <w:p>
      <w:pPr>
        <w:pStyle w:val="75"/>
        <w:rPr>
          <w:ins w:id="6" w:author="10164284" w:date="2019-08-29T23:45:47Z"/>
        </w:rPr>
      </w:pPr>
      <w:r>
        <w:t>-</w:t>
      </w:r>
      <w:r>
        <w:tab/>
      </w:r>
      <w:del w:id="7" w:author="10164284" w:date="2019-08-29T23:46:48Z">
        <w:r>
          <w:rPr/>
          <w:delText xml:space="preserve">NR and/or </w:delText>
        </w:r>
      </w:del>
      <w:r>
        <w:t>E-UTRA Carrier Aggregation, with or without MIMO or TX diversity.</w:t>
      </w:r>
    </w:p>
    <w:p>
      <w:pPr>
        <w:pStyle w:val="75"/>
        <w:rPr>
          <w:rFonts w:hint="eastAsia" w:eastAsia="宋体"/>
          <w:lang w:val="en-US" w:eastAsia="zh-CN"/>
        </w:rPr>
      </w:pPr>
      <w:ins w:id="8" w:author="10164284" w:date="2019-08-29T23:45:41Z">
        <w:r>
          <w:rPr/>
          <w:t>-</w:t>
        </w:r>
      </w:ins>
      <w:ins w:id="9" w:author="10164284" w:date="2019-08-29T23:45:41Z">
        <w:r>
          <w:rPr/>
          <w:tab/>
        </w:r>
      </w:ins>
      <w:ins w:id="10" w:author="10164284" w:date="2019-08-29T23:45:41Z">
        <w:r>
          <w:rPr/>
          <w:t>NR Carrier Aggregation, with or without MIMO</w:t>
        </w:r>
      </w:ins>
      <w:ins w:id="11" w:author="10164284" w:date="2019-08-29T23:47:36Z">
        <w:r>
          <w:rPr>
            <w:rFonts w:hint="eastAsia" w:eastAsia="宋体"/>
            <w:lang w:val="en-US" w:eastAsia="zh-CN"/>
          </w:rPr>
          <w:t>.</w:t>
        </w:r>
      </w:ins>
    </w:p>
    <w:p>
      <w:pPr>
        <w:pStyle w:val="75"/>
      </w:pPr>
      <w:r>
        <w:t>-</w:t>
      </w:r>
      <w:r>
        <w:tab/>
      </w:r>
      <w:r>
        <w:t>NB-IoT transmissions</w:t>
      </w:r>
      <w:r>
        <w:rPr>
          <w:lang w:eastAsia="zh-CN"/>
        </w:rPr>
        <w:t xml:space="preserve"> </w:t>
      </w:r>
      <w:r>
        <w:t>with TX diversity.</w:t>
      </w:r>
    </w:p>
    <w:p>
      <w:r>
        <w:t>Frames of the WCDMA/LTE/NR</w:t>
      </w:r>
      <w:r>
        <w:rPr>
          <w:lang w:eastAsia="zh-CN"/>
        </w:rPr>
        <w:t>/</w:t>
      </w:r>
      <w:r>
        <w:t>NB-IoT signals present at the BS transmitter antenna connector(s) are not perfectly aligned in time. In relation to each other, the RF signals present at the BS transmitter antenna connector (s) experience certain timing differences.</w:t>
      </w:r>
    </w:p>
    <w:p>
      <w:pPr>
        <w:rPr>
          <w:rFonts w:eastAsia="宋体"/>
          <w:lang w:eastAsia="zh-CN"/>
        </w:rPr>
      </w:pPr>
      <w:r>
        <w:t>For a specific set of signals/transmitter configuration/transmission mode, the Time Alignment Error (TAE) is defined as the largest timing difference between any</w:t>
      </w:r>
      <w:r>
        <w:rPr>
          <w:lang w:eastAsia="zh-CN"/>
        </w:rPr>
        <w:t xml:space="preserve"> </w:t>
      </w:r>
      <w:r>
        <w:t>two signals.</w:t>
      </w:r>
    </w:p>
    <w:p>
      <w:pPr>
        <w:pStyle w:val="5"/>
      </w:pPr>
      <w:bookmarkStart w:id="3" w:name="_Toc5359562"/>
      <w:r>
        <w:t>6.5.3.1</w:t>
      </w:r>
      <w:r>
        <w:tab/>
      </w:r>
      <w:r>
        <w:t>E-UTRA minimum Requirement</w:t>
      </w:r>
      <w:bookmarkEnd w:id="3"/>
    </w:p>
    <w:p>
      <w:r>
        <w:t>For E-UTRA, the minimum requirement for time alignment is specified in TS 36.104 [4], subclause 6.5.3.</w:t>
      </w:r>
    </w:p>
    <w:p>
      <w:pPr>
        <w:pStyle w:val="5"/>
      </w:pPr>
      <w:bookmarkStart w:id="4" w:name="_Toc5359563"/>
      <w:r>
        <w:t>6.5.3.2</w:t>
      </w:r>
      <w:r>
        <w:tab/>
      </w:r>
      <w:r>
        <w:t>UTRA FDD minimum requirement</w:t>
      </w:r>
      <w:bookmarkEnd w:id="4"/>
    </w:p>
    <w:p>
      <w:r>
        <w:t>For UTRA FDD, the minimum requirement for time alignment is specified in TS 25.104 [2], subclause 6.8.4.</w:t>
      </w:r>
    </w:p>
    <w:p>
      <w:pPr>
        <w:pStyle w:val="5"/>
      </w:pPr>
      <w:bookmarkStart w:id="5" w:name="_Toc5359564"/>
      <w:r>
        <w:t>6.5.3.3</w:t>
      </w:r>
      <w:r>
        <w:tab/>
      </w:r>
      <w:r>
        <w:t>UTRA TDD minimum requirement</w:t>
      </w:r>
      <w:bookmarkEnd w:id="5"/>
    </w:p>
    <w:p>
      <w:r>
        <w:t>For UTRA TDD, the minimum requirement for time alignment is specified in TS 25.105 [3], subclause 6.8.5.</w:t>
      </w:r>
    </w:p>
    <w:p>
      <w:pPr>
        <w:pStyle w:val="5"/>
      </w:pPr>
      <w:bookmarkStart w:id="6" w:name="_Toc5359565"/>
      <w:r>
        <w:t>6.5.3.4</w:t>
      </w:r>
      <w:r>
        <w:tab/>
      </w:r>
      <w:r>
        <w:t>NB-IoT minimum Requirement</w:t>
      </w:r>
      <w:bookmarkEnd w:id="6"/>
    </w:p>
    <w:p>
      <w:r>
        <w:t>For NB-IoT, the minimum requirement for time alignment is specified in TS 36.104 [4], subclause 6.5.3.</w:t>
      </w:r>
    </w:p>
    <w:p>
      <w:pPr>
        <w:pStyle w:val="5"/>
      </w:pPr>
      <w:bookmarkStart w:id="7" w:name="_Toc5359566"/>
      <w:r>
        <w:t>6.5.3.5</w:t>
      </w:r>
      <w:r>
        <w:tab/>
      </w:r>
      <w:r>
        <w:t>NR minimum Requirement</w:t>
      </w:r>
      <w:bookmarkEnd w:id="7"/>
    </w:p>
    <w:p>
      <w:r>
        <w:t>For NR, the minimum requirement for time alignment (BS type 1-C) is specified in TS 38.104 [17], subclause 6.5.3.</w:t>
      </w:r>
    </w:p>
    <w:p>
      <w:pPr>
        <w:pStyle w:val="4"/>
        <w:ind w:left="0" w:leftChars="0" w:firstLine="0" w:firstLineChars="0"/>
        <w:rPr>
          <w:rFonts w:hint="default" w:eastAsia="宋体"/>
          <w:color w:val="FF0000"/>
          <w:lang w:val="en-US" w:eastAsia="zh-CN"/>
        </w:rPr>
      </w:pPr>
      <w:r>
        <w:rPr>
          <w:rFonts w:hint="eastAsia" w:eastAsia="宋体"/>
          <w:color w:val="FF0000"/>
          <w:lang w:val="en-US" w:eastAsia="zh-CN"/>
        </w:rPr>
        <w:t xml:space="preserve">&lt; </w:t>
      </w:r>
      <w:r>
        <w:rPr>
          <w:rFonts w:hint="eastAsia" w:eastAsia="宋体"/>
          <w:b/>
          <w:bCs/>
          <w:color w:val="FF0000"/>
          <w:lang w:val="en-US" w:eastAsia="zh-CN"/>
        </w:rPr>
        <w:t>End of CR</w:t>
      </w:r>
      <w:r>
        <w:rPr>
          <w:rFonts w:hint="eastAsia" w:eastAsia="宋体"/>
          <w:color w:val="FF0000"/>
          <w:lang w:val="en-US" w:eastAsia="zh-CN"/>
        </w:rPr>
        <w: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06C1"/>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854DF8"/>
    <w:rsid w:val="01D5356E"/>
    <w:rsid w:val="026A2C1B"/>
    <w:rsid w:val="027F4BA5"/>
    <w:rsid w:val="04CD453E"/>
    <w:rsid w:val="07AD67A6"/>
    <w:rsid w:val="09706C3B"/>
    <w:rsid w:val="09A179E0"/>
    <w:rsid w:val="09BE55DE"/>
    <w:rsid w:val="0D031CF4"/>
    <w:rsid w:val="123D45D2"/>
    <w:rsid w:val="13DA0138"/>
    <w:rsid w:val="13FD4015"/>
    <w:rsid w:val="152F144B"/>
    <w:rsid w:val="161F76D2"/>
    <w:rsid w:val="16860390"/>
    <w:rsid w:val="176A12AA"/>
    <w:rsid w:val="19E87CB8"/>
    <w:rsid w:val="1A1F3DF5"/>
    <w:rsid w:val="1B2957B5"/>
    <w:rsid w:val="1DA92D83"/>
    <w:rsid w:val="1DD24C9D"/>
    <w:rsid w:val="20004021"/>
    <w:rsid w:val="21056312"/>
    <w:rsid w:val="211B06D0"/>
    <w:rsid w:val="21720763"/>
    <w:rsid w:val="21B34A9E"/>
    <w:rsid w:val="230924BC"/>
    <w:rsid w:val="238A0928"/>
    <w:rsid w:val="24B275FD"/>
    <w:rsid w:val="26B46CCA"/>
    <w:rsid w:val="29626AD2"/>
    <w:rsid w:val="29E61F96"/>
    <w:rsid w:val="2AB54981"/>
    <w:rsid w:val="2C1851FC"/>
    <w:rsid w:val="2E6234F7"/>
    <w:rsid w:val="2ED83114"/>
    <w:rsid w:val="2FB2299E"/>
    <w:rsid w:val="2FE90A6B"/>
    <w:rsid w:val="31051776"/>
    <w:rsid w:val="312A1D8E"/>
    <w:rsid w:val="31956943"/>
    <w:rsid w:val="32E919F0"/>
    <w:rsid w:val="34085573"/>
    <w:rsid w:val="341045DD"/>
    <w:rsid w:val="37904E12"/>
    <w:rsid w:val="38B72AAB"/>
    <w:rsid w:val="38DF2608"/>
    <w:rsid w:val="3E392661"/>
    <w:rsid w:val="40E4207C"/>
    <w:rsid w:val="41221EE0"/>
    <w:rsid w:val="44037125"/>
    <w:rsid w:val="45761318"/>
    <w:rsid w:val="46363BFA"/>
    <w:rsid w:val="482806EC"/>
    <w:rsid w:val="48A9693D"/>
    <w:rsid w:val="4A1E4EFA"/>
    <w:rsid w:val="4A8E68BD"/>
    <w:rsid w:val="4C487A9E"/>
    <w:rsid w:val="4C8B473B"/>
    <w:rsid w:val="4D295185"/>
    <w:rsid w:val="4D9438EE"/>
    <w:rsid w:val="4EA33E21"/>
    <w:rsid w:val="52693261"/>
    <w:rsid w:val="581E053E"/>
    <w:rsid w:val="59090527"/>
    <w:rsid w:val="5ACC7AB6"/>
    <w:rsid w:val="5CE76E42"/>
    <w:rsid w:val="5D8A1DD2"/>
    <w:rsid w:val="5E5F18F9"/>
    <w:rsid w:val="5ED57E28"/>
    <w:rsid w:val="63371B1A"/>
    <w:rsid w:val="647B721A"/>
    <w:rsid w:val="67225966"/>
    <w:rsid w:val="679505BF"/>
    <w:rsid w:val="67E361DA"/>
    <w:rsid w:val="68AE4FA1"/>
    <w:rsid w:val="6B9671E2"/>
    <w:rsid w:val="6BDD1DC7"/>
    <w:rsid w:val="70E714B0"/>
    <w:rsid w:val="717366FD"/>
    <w:rsid w:val="7186416C"/>
    <w:rsid w:val="75233E59"/>
    <w:rsid w:val="77A16718"/>
    <w:rsid w:val="7809203F"/>
    <w:rsid w:val="78155188"/>
    <w:rsid w:val="781C37AA"/>
    <w:rsid w:val="789C1E03"/>
    <w:rsid w:val="7BD849F4"/>
    <w:rsid w:val="7D8741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2</TotalTime>
  <ScaleCrop>false</ScaleCrop>
  <LinksUpToDate>false</LinksUpToDate>
  <CharactersWithSpaces>2381</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10164284</cp:lastModifiedBy>
  <cp:lastPrinted>2411-12-31T23:00:00Z</cp:lastPrinted>
  <dcterms:modified xsi:type="dcterms:W3CDTF">2019-08-29T15:57:51Z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ies>
</file>